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500" w:rsidRPr="000A1500" w:rsidRDefault="000A1500" w:rsidP="000A1500">
      <w:pPr>
        <w:spacing w:after="0" w:line="240" w:lineRule="auto"/>
        <w:jc w:val="center"/>
        <w:outlineLvl w:val="0"/>
        <w:rPr>
          <w:rFonts w:ascii="Times New Roman" w:eastAsia="Times New Roman" w:hAnsi="Times New Roman" w:cs="Times New Roman"/>
          <w:b/>
          <w:bCs/>
          <w:i/>
          <w:iCs/>
          <w:color w:val="111111"/>
          <w:kern w:val="36"/>
          <w:sz w:val="36"/>
          <w:szCs w:val="36"/>
          <w:lang w:eastAsia="es-ES"/>
          <w14:ligatures w14:val="none"/>
        </w:rPr>
      </w:pPr>
      <w:r w:rsidRPr="000A1500">
        <w:rPr>
          <w:rFonts w:ascii="Times New Roman" w:eastAsia="Times New Roman" w:hAnsi="Times New Roman" w:cs="Times New Roman"/>
          <w:b/>
          <w:bCs/>
          <w:i/>
          <w:iCs/>
          <w:color w:val="111111"/>
          <w:kern w:val="36"/>
          <w:sz w:val="36"/>
          <w:szCs w:val="36"/>
          <w:lang w:eastAsia="es-ES"/>
          <w14:ligatures w14:val="none"/>
        </w:rPr>
        <w:t>Los optimistas del desarrollo tenían razón: el mundo iba mejor... hasta 2018</w:t>
      </w:r>
    </w:p>
    <w:p w:rsidR="000A1500" w:rsidRPr="000A1500" w:rsidRDefault="000A1500" w:rsidP="000A1500">
      <w:pPr>
        <w:spacing w:before="100" w:beforeAutospacing="1" w:after="100" w:afterAutospacing="1" w:line="240" w:lineRule="auto"/>
        <w:jc w:val="center"/>
        <w:outlineLvl w:val="1"/>
        <w:rPr>
          <w:rFonts w:ascii="MajritTxRoman" w:eastAsia="Times New Roman" w:hAnsi="MajritTxRoman" w:cs="Times New Roman"/>
          <w:color w:val="111111"/>
          <w:kern w:val="0"/>
          <w:sz w:val="24"/>
          <w:szCs w:val="24"/>
          <w:lang w:eastAsia="es-ES"/>
          <w14:ligatures w14:val="none"/>
        </w:rPr>
      </w:pPr>
      <w:r w:rsidRPr="000A1500">
        <w:rPr>
          <w:rFonts w:ascii="MajritTxRoman" w:eastAsia="Times New Roman" w:hAnsi="MajritTxRoman" w:cs="Times New Roman"/>
          <w:color w:val="111111"/>
          <w:kern w:val="0"/>
          <w:sz w:val="24"/>
          <w:szCs w:val="24"/>
          <w:lang w:eastAsia="es-ES"/>
          <w14:ligatures w14:val="none"/>
        </w:rPr>
        <w:t>A lo largo de este curso hemos publicado una serie de análisis que contestan preguntas relevantes sobre los desafíos del planeta. Su lectura sugiere un escenario inquietante que podemos evitar con voluntad, ingenio y recursos</w:t>
      </w:r>
    </w:p>
    <w:p w:rsidR="000A1500" w:rsidRPr="000A1500" w:rsidRDefault="00000000" w:rsidP="000A1500">
      <w:pPr>
        <w:spacing w:after="0" w:line="240" w:lineRule="auto"/>
        <w:rPr>
          <w:rFonts w:ascii="Times New Roman" w:eastAsia="Times New Roman" w:hAnsi="Times New Roman" w:cs="Times New Roman"/>
          <w:color w:val="111111"/>
          <w:kern w:val="0"/>
          <w:lang w:eastAsia="es-ES"/>
          <w14:ligatures w14:val="none"/>
        </w:rPr>
      </w:pPr>
      <w:hyperlink r:id="rId4" w:anchor="?rel=author_top" w:tooltip="Ver todas las noticias de Gonzalo Fanjul" w:history="1">
        <w:r w:rsidR="000A1500" w:rsidRPr="000A1500">
          <w:rPr>
            <w:rFonts w:ascii="Times New Roman" w:eastAsia="Times New Roman" w:hAnsi="Times New Roman" w:cs="Times New Roman"/>
            <w:b/>
            <w:bCs/>
            <w:caps/>
            <w:color w:val="0000FF"/>
            <w:kern w:val="0"/>
            <w:u w:val="single"/>
            <w:lang w:eastAsia="es-ES"/>
            <w14:ligatures w14:val="none"/>
          </w:rPr>
          <w:t>GONZALO FANJUL</w:t>
        </w:r>
      </w:hyperlink>
    </w:p>
    <w:p w:rsidR="000A1500" w:rsidRPr="000A1500" w:rsidRDefault="00000000" w:rsidP="000A1500">
      <w:pPr>
        <w:spacing w:after="0" w:line="240" w:lineRule="auto"/>
        <w:rPr>
          <w:rFonts w:ascii="Arial" w:eastAsia="Times New Roman" w:hAnsi="Arial" w:cs="Arial"/>
          <w:color w:val="111111"/>
          <w:spacing w:val="2"/>
          <w:kern w:val="0"/>
          <w:lang w:eastAsia="es-ES"/>
          <w14:ligatures w14:val="none"/>
        </w:rPr>
      </w:pPr>
      <w:hyperlink r:id="rId5" w:history="1">
        <w:r w:rsidR="000A1500" w:rsidRPr="000A1500">
          <w:rPr>
            <w:rFonts w:ascii="Arial" w:eastAsia="Times New Roman" w:hAnsi="Arial" w:cs="Arial"/>
            <w:color w:val="0000FF"/>
            <w:spacing w:val="2"/>
            <w:kern w:val="0"/>
            <w:u w:val="single"/>
            <w:lang w:eastAsia="es-ES"/>
            <w14:ligatures w14:val="none"/>
          </w:rPr>
          <w:t>07 AGO 2023 – EL</w:t>
        </w:r>
      </w:hyperlink>
      <w:r w:rsidR="000A1500" w:rsidRPr="000A1500">
        <w:rPr>
          <w:rFonts w:ascii="Arial" w:eastAsia="Times New Roman" w:hAnsi="Arial" w:cs="Arial"/>
          <w:color w:val="111111"/>
          <w:spacing w:val="2"/>
          <w:kern w:val="0"/>
          <w:lang w:eastAsia="es-ES"/>
          <w14:ligatures w14:val="none"/>
        </w:rPr>
        <w:t xml:space="preserve"> PAÍS</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Con más de 4,5 millones de visionados desde 2017, la </w:t>
      </w:r>
      <w:hyperlink r:id="rId6" w:history="1">
        <w:r w:rsidRPr="000A1500">
          <w:rPr>
            <w:rFonts w:ascii="MajritTxRoman" w:eastAsia="Times New Roman" w:hAnsi="MajritTxRoman" w:cs="Times New Roman"/>
            <w:color w:val="016CA2"/>
            <w:kern w:val="0"/>
            <w:u w:val="single"/>
            <w:lang w:eastAsia="es-ES"/>
            <w14:ligatures w14:val="none"/>
          </w:rPr>
          <w:t>charla TED de Stephen Pinker</w:t>
        </w:r>
      </w:hyperlink>
      <w:r w:rsidRPr="000A1500">
        <w:rPr>
          <w:rFonts w:ascii="MajritTxRoman" w:eastAsia="Times New Roman" w:hAnsi="MajritTxRoman" w:cs="Times New Roman"/>
          <w:color w:val="191919"/>
          <w:kern w:val="0"/>
          <w:lang w:eastAsia="es-ES"/>
          <w14:ligatures w14:val="none"/>
        </w:rPr>
        <w:t> sobre el estado del mundo es un monumento al optimismo. El análisis de este influyente psicólogo y pensador sobre la evolución de los datos sugiere que nuestro planeta ha experimentado durante los últimos 30 años un progreso notable en indicadores tan esenciales como la violencia, la polución o la educación. En su opinión, “el mundo está mejorando”.</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Este avance es real. De hecho, si nos ceñimos a los indicadores que miden el desarrollo de los países y la reducción de las desigualdades globales, el progreso desde 1990 —fecha de referencia para buena parte de los objetivos globales— no tiene precedentes en la historia. Durante este suspiro de la evolución humana, el porcentaje de habitantes del planeta que viven en la pobreza extrema ha caído un 72%, el de la desnutrición un 61% y el de la mortalidad infantil, un 60%. Más niños y niñas completan la educación primaria y secundaria que en ningún otro momento de la historia, y tres de cada cuatro seres humanos tienen hoy acceso a agua potable, 2.000 millones más que al principio de este siglo.</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Si todo es cierto, ¿por qué tenemos la sensación de que las cosas están peor que nunca?</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Esta pregunta fue, en parte, la que motivó una serie de piezas de análisis que Planeta Futuro ha venido publicando mensualmente desde el pasado mes de octubre. En ellas hemos buscado enfoques originales, pero relevantes, a algunas de las encrucijadas a las que hace frente hoy el debate del desarrollo: por qué nos hemos estancado </w:t>
      </w:r>
      <w:hyperlink r:id="rId7" w:history="1">
        <w:r w:rsidRPr="000A1500">
          <w:rPr>
            <w:rFonts w:ascii="MajritTxRoman" w:eastAsia="Times New Roman" w:hAnsi="MajritTxRoman" w:cs="Times New Roman"/>
            <w:color w:val="016CA2"/>
            <w:kern w:val="0"/>
            <w:u w:val="single"/>
            <w:lang w:eastAsia="es-ES"/>
            <w14:ligatures w14:val="none"/>
          </w:rPr>
          <w:t>con la educación</w:t>
        </w:r>
      </w:hyperlink>
      <w:r w:rsidRPr="000A1500">
        <w:rPr>
          <w:rFonts w:ascii="MajritTxRoman" w:eastAsia="Times New Roman" w:hAnsi="MajritTxRoman" w:cs="Times New Roman"/>
          <w:color w:val="191919"/>
          <w:kern w:val="0"/>
          <w:lang w:eastAsia="es-ES"/>
          <w14:ligatures w14:val="none"/>
        </w:rPr>
        <w:t>; cómo mantener el protagonismo </w:t>
      </w:r>
      <w:hyperlink r:id="rId8" w:history="1">
        <w:r w:rsidRPr="000A1500">
          <w:rPr>
            <w:rFonts w:ascii="MajritTxRoman" w:eastAsia="Times New Roman" w:hAnsi="MajritTxRoman" w:cs="Times New Roman"/>
            <w:color w:val="016CA2"/>
            <w:kern w:val="0"/>
            <w:u w:val="single"/>
            <w:lang w:eastAsia="es-ES"/>
            <w14:ligatures w14:val="none"/>
          </w:rPr>
          <w:t>de la salud global</w:t>
        </w:r>
      </w:hyperlink>
      <w:r w:rsidRPr="000A1500">
        <w:rPr>
          <w:rFonts w:ascii="MajritTxRoman" w:eastAsia="Times New Roman" w:hAnsi="MajritTxRoman" w:cs="Times New Roman"/>
          <w:color w:val="191919"/>
          <w:kern w:val="0"/>
          <w:lang w:eastAsia="es-ES"/>
          <w14:ligatures w14:val="none"/>
        </w:rPr>
        <w:t> tras la covid; qué posibilidad hay de que </w:t>
      </w:r>
      <w:hyperlink r:id="rId9" w:history="1">
        <w:r w:rsidRPr="000A1500">
          <w:rPr>
            <w:rFonts w:ascii="MajritTxRoman" w:eastAsia="Times New Roman" w:hAnsi="MajritTxRoman" w:cs="Times New Roman"/>
            <w:color w:val="016CA2"/>
            <w:kern w:val="0"/>
            <w:u w:val="single"/>
            <w:lang w:eastAsia="es-ES"/>
            <w14:ligatures w14:val="none"/>
          </w:rPr>
          <w:t>la inseguridad alimentaria se cronifique</w:t>
        </w:r>
      </w:hyperlink>
      <w:r w:rsidRPr="000A1500">
        <w:rPr>
          <w:rFonts w:ascii="MajritTxRoman" w:eastAsia="Times New Roman" w:hAnsi="MajritTxRoman" w:cs="Times New Roman"/>
          <w:color w:val="191919"/>
          <w:kern w:val="0"/>
          <w:lang w:eastAsia="es-ES"/>
          <w14:ligatures w14:val="none"/>
        </w:rPr>
        <w:t>; qué riesgos y qué oportunidades existen en el panorama </w:t>
      </w:r>
      <w:hyperlink r:id="rId10" w:history="1">
        <w:r w:rsidRPr="000A1500">
          <w:rPr>
            <w:rFonts w:ascii="MajritTxRoman" w:eastAsia="Times New Roman" w:hAnsi="MajritTxRoman" w:cs="Times New Roman"/>
            <w:color w:val="016CA2"/>
            <w:kern w:val="0"/>
            <w:u w:val="single"/>
            <w:lang w:eastAsia="es-ES"/>
            <w14:ligatures w14:val="none"/>
          </w:rPr>
          <w:t>de la financiación del desarrollo</w:t>
        </w:r>
      </w:hyperlink>
      <w:r w:rsidRPr="000A1500">
        <w:rPr>
          <w:rFonts w:ascii="MajritTxRoman" w:eastAsia="Times New Roman" w:hAnsi="MajritTxRoman" w:cs="Times New Roman"/>
          <w:color w:val="191919"/>
          <w:kern w:val="0"/>
          <w:lang w:eastAsia="es-ES"/>
          <w14:ligatures w14:val="none"/>
        </w:rPr>
        <w:t>; cómo convertir la lucha </w:t>
      </w:r>
      <w:hyperlink r:id="rId11" w:history="1">
        <w:r w:rsidRPr="000A1500">
          <w:rPr>
            <w:rFonts w:ascii="MajritTxRoman" w:eastAsia="Times New Roman" w:hAnsi="MajritTxRoman" w:cs="Times New Roman"/>
            <w:color w:val="016CA2"/>
            <w:kern w:val="0"/>
            <w:u w:val="single"/>
            <w:lang w:eastAsia="es-ES"/>
            <w14:ligatures w14:val="none"/>
          </w:rPr>
          <w:t>contra el cambio climático</w:t>
        </w:r>
      </w:hyperlink>
      <w:r w:rsidRPr="000A1500">
        <w:rPr>
          <w:rFonts w:ascii="MajritTxRoman" w:eastAsia="Times New Roman" w:hAnsi="MajritTxRoman" w:cs="Times New Roman"/>
          <w:color w:val="191919"/>
          <w:kern w:val="0"/>
          <w:lang w:eastAsia="es-ES"/>
          <w14:ligatures w14:val="none"/>
        </w:rPr>
        <w:t> en una reparación histórica; qué salidas hay al </w:t>
      </w:r>
      <w:hyperlink r:id="rId12" w:anchor=":~:text=Nuevo%20manual%20para%20gobernar%20el%20mundo" w:history="1">
        <w:r w:rsidRPr="000A1500">
          <w:rPr>
            <w:rFonts w:ascii="MajritTxRoman" w:eastAsia="Times New Roman" w:hAnsi="MajritTxRoman" w:cs="Times New Roman"/>
            <w:color w:val="016CA2"/>
            <w:kern w:val="0"/>
            <w:u w:val="single"/>
            <w:lang w:eastAsia="es-ES"/>
            <w14:ligatures w14:val="none"/>
          </w:rPr>
          <w:t>laberinto de la gobernanza</w:t>
        </w:r>
      </w:hyperlink>
      <w:r w:rsidRPr="000A1500">
        <w:rPr>
          <w:rFonts w:ascii="MajritTxRoman" w:eastAsia="Times New Roman" w:hAnsi="MajritTxRoman" w:cs="Times New Roman"/>
          <w:color w:val="191919"/>
          <w:kern w:val="0"/>
          <w:lang w:eastAsia="es-ES"/>
          <w14:ligatures w14:val="none"/>
        </w:rPr>
        <w:t> internacional; por qué la </w:t>
      </w:r>
      <w:hyperlink r:id="rId13" w:anchor=":~:text=Cuando%20la%20ayuda%20internacional%20est%C3%A1%20al%20servicio%20de%20la%20seguridad%20nacional" w:history="1">
        <w:r w:rsidRPr="000A1500">
          <w:rPr>
            <w:rFonts w:ascii="MajritTxRoman" w:eastAsia="Times New Roman" w:hAnsi="MajritTxRoman" w:cs="Times New Roman"/>
            <w:color w:val="016CA2"/>
            <w:kern w:val="0"/>
            <w:u w:val="single"/>
            <w:lang w:eastAsia="es-ES"/>
            <w14:ligatures w14:val="none"/>
          </w:rPr>
          <w:t>securitización amenaza</w:t>
        </w:r>
      </w:hyperlink>
      <w:r w:rsidRPr="000A1500">
        <w:rPr>
          <w:rFonts w:ascii="MajritTxRoman" w:eastAsia="Times New Roman" w:hAnsi="MajritTxRoman" w:cs="Times New Roman"/>
          <w:color w:val="191919"/>
          <w:kern w:val="0"/>
          <w:lang w:eastAsia="es-ES"/>
          <w14:ligatures w14:val="none"/>
        </w:rPr>
        <w:t> con destruir la ayuda; o cuándo aceptaremos que las migraciones son </w:t>
      </w:r>
      <w:hyperlink r:id="rId14" w:anchor=":~:text=El%20secreto%20mejor%20guardado%20contra%20la%20pobreza%3A%20as%C3%AD%20contribuyen%20las%20migraciones%20laborales%20al%20desarrollo%20global" w:history="1">
        <w:r w:rsidRPr="000A1500">
          <w:rPr>
            <w:rFonts w:ascii="MajritTxRoman" w:eastAsia="Times New Roman" w:hAnsi="MajritTxRoman" w:cs="Times New Roman"/>
            <w:color w:val="016CA2"/>
            <w:kern w:val="0"/>
            <w:u w:val="single"/>
            <w:lang w:eastAsia="es-ES"/>
            <w14:ligatures w14:val="none"/>
          </w:rPr>
          <w:t>el secreto mejor guardado contra la pobreza</w:t>
        </w:r>
      </w:hyperlink>
      <w:r w:rsidRPr="000A1500">
        <w:rPr>
          <w:rFonts w:ascii="MajritTxRoman" w:eastAsia="Times New Roman" w:hAnsi="MajritTxRoman" w:cs="Times New Roman"/>
          <w:color w:val="191919"/>
          <w:kern w:val="0"/>
          <w:lang w:eastAsia="es-ES"/>
          <w14:ligatures w14:val="none"/>
        </w:rPr>
        <w:t>. (Abajo, la lista completa).</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Si tuviésemos que extraer una primera lección de todas estas piezas, sería la de recomendarle a Pinker que se ponga al día. El mundo es infinitamente mejor que hace 30 años, pero desde 2018 hasta ahora hemos experimentado un frenazo o retroceso preocupantes en algunos de estos indicadores esenciales del desarrollo. En el campo de la salud, por ejemplo, relatábamos el destrozo de la covid-19 en el esfuerzo global contra el VIH, la malaria,</w:t>
      </w:r>
      <w:hyperlink r:id="rId15" w:tgtFrame="_blank" w:history="1">
        <w:r w:rsidRPr="000A1500">
          <w:rPr>
            <w:rFonts w:ascii="MajritTxRoman" w:eastAsia="Times New Roman" w:hAnsi="MajritTxRoman" w:cs="Times New Roman"/>
            <w:color w:val="016CA2"/>
            <w:kern w:val="0"/>
            <w:u w:val="single"/>
            <w:lang w:eastAsia="es-ES"/>
            <w14:ligatures w14:val="none"/>
          </w:rPr>
          <w:t> la tuberculosis</w:t>
        </w:r>
      </w:hyperlink>
      <w:r w:rsidRPr="000A1500">
        <w:rPr>
          <w:rFonts w:ascii="MajritTxRoman" w:eastAsia="Times New Roman" w:hAnsi="MajritTxRoman" w:cs="Times New Roman"/>
          <w:color w:val="191919"/>
          <w:kern w:val="0"/>
          <w:lang w:eastAsia="es-ES"/>
          <w14:ligatures w14:val="none"/>
        </w:rPr>
        <w:t> o la </w:t>
      </w:r>
      <w:hyperlink r:id="rId16" w:tgtFrame="_blank" w:history="1">
        <w:r w:rsidRPr="000A1500">
          <w:rPr>
            <w:rFonts w:ascii="MajritTxRoman" w:eastAsia="Times New Roman" w:hAnsi="MajritTxRoman" w:cs="Times New Roman"/>
            <w:color w:val="016CA2"/>
            <w:kern w:val="0"/>
            <w:u w:val="single"/>
            <w:lang w:eastAsia="es-ES"/>
            <w14:ligatures w14:val="none"/>
          </w:rPr>
          <w:t>neumonía infantil.</w:t>
        </w:r>
      </w:hyperlink>
      <w:r w:rsidRPr="000A1500">
        <w:rPr>
          <w:rFonts w:ascii="MajritTxRoman" w:eastAsia="Times New Roman" w:hAnsi="MajritTxRoman" w:cs="Times New Roman"/>
          <w:color w:val="191919"/>
          <w:kern w:val="0"/>
          <w:lang w:eastAsia="es-ES"/>
          <w14:ligatures w14:val="none"/>
        </w:rPr>
        <w:t> Por primera vez en una década hemos visto repuntes en las tasas de mortalidad por algunas de estas enfermedades, que son pandemias cotidianas para medio planeta. En el campo de la seguridad alimentaria, las agencias humanitarias ya no saben qué adjetivos utilizar para describir la catástrofe profunda y continuada a la que hacemos frente. Las tragedias súbitas –como la del conflicto en Sudán, donde un millón de personas </w:t>
      </w:r>
      <w:hyperlink r:id="rId17" w:history="1">
        <w:r w:rsidRPr="000A1500">
          <w:rPr>
            <w:rFonts w:ascii="MajritTxRoman" w:eastAsia="Times New Roman" w:hAnsi="MajritTxRoman" w:cs="Times New Roman"/>
            <w:color w:val="016CA2"/>
            <w:kern w:val="0"/>
            <w:u w:val="single"/>
            <w:lang w:eastAsia="es-ES"/>
            <w14:ligatures w14:val="none"/>
          </w:rPr>
          <w:t>precisan ayuda alimentaria</w:t>
        </w:r>
      </w:hyperlink>
      <w:r w:rsidRPr="000A1500">
        <w:rPr>
          <w:rFonts w:ascii="MajritTxRoman" w:eastAsia="Times New Roman" w:hAnsi="MajritTxRoman" w:cs="Times New Roman"/>
          <w:color w:val="191919"/>
          <w:kern w:val="0"/>
          <w:lang w:eastAsia="es-ES"/>
          <w14:ligatures w14:val="none"/>
        </w:rPr>
        <w:t xml:space="preserve">– se </w:t>
      </w:r>
      <w:r w:rsidRPr="000A1500">
        <w:rPr>
          <w:rFonts w:ascii="MajritTxRoman" w:eastAsia="Times New Roman" w:hAnsi="MajritTxRoman" w:cs="Times New Roman"/>
          <w:color w:val="191919"/>
          <w:kern w:val="0"/>
          <w:lang w:eastAsia="es-ES"/>
          <w14:ligatures w14:val="none"/>
        </w:rPr>
        <w:lastRenderedPageBreak/>
        <w:t>encaraman sobre una crisis estructural en la batalla contra el hambre. El descenso continuado e histórico de los niveles de desnutrición </w:t>
      </w:r>
      <w:hyperlink r:id="rId18" w:history="1">
        <w:r w:rsidRPr="000A1500">
          <w:rPr>
            <w:rFonts w:ascii="MajritTxRoman" w:eastAsia="Times New Roman" w:hAnsi="MajritTxRoman" w:cs="Times New Roman"/>
            <w:color w:val="016CA2"/>
            <w:kern w:val="0"/>
            <w:u w:val="single"/>
            <w:lang w:eastAsia="es-ES"/>
            <w14:ligatures w14:val="none"/>
          </w:rPr>
          <w:t>se estancó en 2014 y comenzó a repuntar en 2018</w:t>
        </w:r>
      </w:hyperlink>
      <w:r w:rsidRPr="000A1500">
        <w:rPr>
          <w:rFonts w:ascii="MajritTxRoman" w:eastAsia="Times New Roman" w:hAnsi="MajritTxRoman" w:cs="Times New Roman"/>
          <w:color w:val="191919"/>
          <w:kern w:val="0"/>
          <w:lang w:eastAsia="es-ES"/>
          <w14:ligatures w14:val="none"/>
        </w:rPr>
        <w:t>, sin visos aparentes de un cambio de tendencia.</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La salud y la nutrición son solo dos ejemplos en un panorama general desasosegante. De acuerdo con el </w:t>
      </w:r>
      <w:hyperlink r:id="rId19" w:history="1">
        <w:r w:rsidRPr="000A1500">
          <w:rPr>
            <w:rFonts w:ascii="MajritTxRoman" w:eastAsia="Times New Roman" w:hAnsi="MajritTxRoman" w:cs="Times New Roman"/>
            <w:color w:val="016CA2"/>
            <w:kern w:val="0"/>
            <w:u w:val="single"/>
            <w:lang w:eastAsia="es-ES"/>
            <w14:ligatures w14:val="none"/>
          </w:rPr>
          <w:t>informe anual</w:t>
        </w:r>
      </w:hyperlink>
      <w:r w:rsidRPr="000A1500">
        <w:rPr>
          <w:rFonts w:ascii="MajritTxRoman" w:eastAsia="Times New Roman" w:hAnsi="MajritTxRoman" w:cs="Times New Roman"/>
          <w:color w:val="191919"/>
          <w:kern w:val="0"/>
          <w:lang w:eastAsia="es-ES"/>
          <w14:ligatures w14:val="none"/>
        </w:rPr>
        <w:t> de la Red de Soluciones para el Desarrollo Sostenible (SDSN, por sus siglas en inglés), menos de una quinta parte de las 169 metas de la </w:t>
      </w:r>
      <w:hyperlink r:id="rId20" w:tgtFrame="_blank" w:history="1">
        <w:r w:rsidRPr="000A1500">
          <w:rPr>
            <w:rFonts w:ascii="MajritTxRoman" w:eastAsia="Times New Roman" w:hAnsi="MajritTxRoman" w:cs="Times New Roman"/>
            <w:color w:val="016CA2"/>
            <w:kern w:val="0"/>
            <w:u w:val="single"/>
            <w:lang w:eastAsia="es-ES"/>
            <w14:ligatures w14:val="none"/>
          </w:rPr>
          <w:t>Agenda 2030</w:t>
        </w:r>
      </w:hyperlink>
      <w:r w:rsidRPr="000A1500">
        <w:rPr>
          <w:rFonts w:ascii="MajritTxRoman" w:eastAsia="Times New Roman" w:hAnsi="MajritTxRoman" w:cs="Times New Roman"/>
          <w:color w:val="191919"/>
          <w:kern w:val="0"/>
          <w:lang w:eastAsia="es-ES"/>
          <w14:ligatures w14:val="none"/>
        </w:rPr>
        <w:t> están en camino de ser cumplidas. Dos de cada tres están estancadas y una de cada siete está en abierta regresión. No son datos para tirar cohetes.</w:t>
      </w:r>
    </w:p>
    <w:p w:rsidR="000A1500" w:rsidRPr="000A1500" w:rsidRDefault="000000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hyperlink r:id="rId21" w:tgtFrame="_blank" w:history="1">
        <w:r w:rsidR="000A1500" w:rsidRPr="000A1500">
          <w:rPr>
            <w:rFonts w:ascii="MajritTxRoman" w:eastAsia="Times New Roman" w:hAnsi="MajritTxRoman" w:cs="Times New Roman"/>
            <w:color w:val="016CA2"/>
            <w:kern w:val="0"/>
            <w:u w:val="single"/>
            <w:lang w:eastAsia="es-ES"/>
            <w14:ligatures w14:val="none"/>
          </w:rPr>
          <w:t>La invasión de Ucrania</w:t>
        </w:r>
      </w:hyperlink>
      <w:r w:rsidR="000A1500" w:rsidRPr="000A1500">
        <w:rPr>
          <w:rFonts w:ascii="MajritTxRoman" w:eastAsia="Times New Roman" w:hAnsi="MajritTxRoman" w:cs="Times New Roman"/>
          <w:color w:val="191919"/>
          <w:kern w:val="0"/>
          <w:lang w:eastAsia="es-ES"/>
          <w14:ligatures w14:val="none"/>
        </w:rPr>
        <w:t> prendió fuego a los precios de la energía y los alimentos, así como a los tipos de interés derivados de la respuesta a la inflación. La provocada por Rusia es la penúltima de una cadena de crisis sistémicas que comenzó con la Gran Recesión en 2008 y continuó con </w:t>
      </w:r>
      <w:hyperlink r:id="rId22" w:tgtFrame="_blank" w:history="1">
        <w:r w:rsidR="000A1500" w:rsidRPr="000A1500">
          <w:rPr>
            <w:rFonts w:ascii="MajritTxRoman" w:eastAsia="Times New Roman" w:hAnsi="MajritTxRoman" w:cs="Times New Roman"/>
            <w:color w:val="016CA2"/>
            <w:kern w:val="0"/>
            <w:u w:val="single"/>
            <w:lang w:eastAsia="es-ES"/>
            <w14:ligatures w14:val="none"/>
          </w:rPr>
          <w:t>la pandemia</w:t>
        </w:r>
      </w:hyperlink>
      <w:r w:rsidR="000A1500" w:rsidRPr="000A1500">
        <w:rPr>
          <w:rFonts w:ascii="MajritTxRoman" w:eastAsia="Times New Roman" w:hAnsi="MajritTxRoman" w:cs="Times New Roman"/>
          <w:color w:val="191919"/>
          <w:kern w:val="0"/>
          <w:lang w:eastAsia="es-ES"/>
          <w14:ligatures w14:val="none"/>
        </w:rPr>
        <w:t>. La tragedia del coronavirus no solo fue responsable de la muerte directa </w:t>
      </w:r>
      <w:hyperlink r:id="rId23" w:history="1">
        <w:r w:rsidR="000A1500" w:rsidRPr="000A1500">
          <w:rPr>
            <w:rFonts w:ascii="MajritTxRoman" w:eastAsia="Times New Roman" w:hAnsi="MajritTxRoman" w:cs="Times New Roman"/>
            <w:color w:val="016CA2"/>
            <w:kern w:val="0"/>
            <w:u w:val="single"/>
            <w:lang w:eastAsia="es-ES"/>
            <w14:ligatures w14:val="none"/>
          </w:rPr>
          <w:t>de unos 22 millones de personas</w:t>
        </w:r>
      </w:hyperlink>
      <w:r w:rsidR="000A1500" w:rsidRPr="000A1500">
        <w:rPr>
          <w:rFonts w:ascii="MajritTxRoman" w:eastAsia="Times New Roman" w:hAnsi="MajritTxRoman" w:cs="Times New Roman"/>
          <w:color w:val="191919"/>
          <w:kern w:val="0"/>
          <w:lang w:eastAsia="es-ES"/>
          <w14:ligatures w14:val="none"/>
        </w:rPr>
        <w:t>, sino que provocó estragos en los programas de progreso económico, educativo y sanitario de la población.</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Esta tormenta perfecta ya tiene un nombre: </w:t>
      </w:r>
      <w:hyperlink r:id="rId24" w:anchor=":~:text=The%20generally%20recognised%20definition%20of,occurrence%20of%20several%20catastrophic%20events." w:history="1">
        <w:r w:rsidRPr="000A1500">
          <w:rPr>
            <w:rFonts w:ascii="MajritTxRoman" w:eastAsia="Times New Roman" w:hAnsi="MajritTxRoman" w:cs="Times New Roman"/>
            <w:i/>
            <w:iCs/>
            <w:color w:val="016CA2"/>
            <w:kern w:val="0"/>
            <w:u w:val="single"/>
            <w:lang w:eastAsia="es-ES"/>
            <w14:ligatures w14:val="none"/>
          </w:rPr>
          <w:t>policrisis</w:t>
        </w:r>
      </w:hyperlink>
      <w:r w:rsidRPr="000A1500">
        <w:rPr>
          <w:rFonts w:ascii="MajritTxRoman" w:eastAsia="Times New Roman" w:hAnsi="MajritTxRoman" w:cs="Times New Roman"/>
          <w:color w:val="191919"/>
          <w:kern w:val="0"/>
          <w:lang w:eastAsia="es-ES"/>
          <w14:ligatures w14:val="none"/>
        </w:rPr>
        <w:t>. Para la mayoría de los países del planeta, que carecen del músculo fiscal de la Unión Europea o de EE UU, el día a día es lo más parecido a nadar con las manos atadas. La caída de los ingresos, el aumento de los intereses y la necesidad de proporcionar redes básicas de seguridad frente a la emergencia han entrampado al Sur global en la</w:t>
      </w:r>
      <w:hyperlink r:id="rId25" w:tgtFrame="_blank" w:history="1">
        <w:r w:rsidRPr="000A1500">
          <w:rPr>
            <w:rFonts w:ascii="MajritTxRoman" w:eastAsia="Times New Roman" w:hAnsi="MajritTxRoman" w:cs="Times New Roman"/>
            <w:color w:val="016CA2"/>
            <w:kern w:val="0"/>
            <w:u w:val="single"/>
            <w:lang w:eastAsia="es-ES"/>
            <w14:ligatures w14:val="none"/>
          </w:rPr>
          <w:t> mayor crisis de deuda desde los años ochenta</w:t>
        </w:r>
      </w:hyperlink>
      <w:r w:rsidRPr="000A1500">
        <w:rPr>
          <w:rFonts w:ascii="MajritTxRoman" w:eastAsia="Times New Roman" w:hAnsi="MajritTxRoman" w:cs="Times New Roman"/>
          <w:color w:val="191919"/>
          <w:kern w:val="0"/>
          <w:lang w:eastAsia="es-ES"/>
          <w14:ligatures w14:val="none"/>
        </w:rPr>
        <w:t>. Este es tal vez el asunto que más nos debería preocupar ahora, porque determinará todos los demás. Un </w:t>
      </w:r>
      <w:hyperlink r:id="rId26" w:history="1">
        <w:r w:rsidRPr="000A1500">
          <w:rPr>
            <w:rFonts w:ascii="MajritTxRoman" w:eastAsia="Times New Roman" w:hAnsi="MajritTxRoman" w:cs="Times New Roman"/>
            <w:color w:val="016CA2"/>
            <w:kern w:val="0"/>
            <w:u w:val="single"/>
            <w:lang w:eastAsia="es-ES"/>
            <w14:ligatures w14:val="none"/>
          </w:rPr>
          <w:t>informe publicado este mes</w:t>
        </w:r>
      </w:hyperlink>
      <w:r w:rsidRPr="000A1500">
        <w:rPr>
          <w:rFonts w:ascii="MajritTxRoman" w:eastAsia="Times New Roman" w:hAnsi="MajritTxRoman" w:cs="Times New Roman"/>
          <w:color w:val="191919"/>
          <w:kern w:val="0"/>
          <w:lang w:eastAsia="es-ES"/>
          <w14:ligatures w14:val="none"/>
        </w:rPr>
        <w:t> por el Grupo de la ONU para la Respuesta a la Crisis alerta sobre la situación de 52 países y 3.300 millones de personas, atrapados en el “fracaso sistémico” del modelo financiero global.</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El peor escenario podría ser evitado, dicen los expertos de Naciones Unidas, con una combinación de medidas que incluye la condonación parcial de la deuda, la revisión de los tipos y la inyección de fondos no concesionales. Pero algunos de los motivos de preocupación son estructurales. Y esta es la segunda conclusión que ofrece nuestro análisis. Aunque la estrategia contra el calentamiento climático tuviese un éxito inesperado, la inercia de los hechos va a disparar los niveles de vulnerabilidad y las necesidades financieras del Sur global. En materia de seguridad alimentaria, por ejemplo, transitamos de la era de la inequidad a la de la inequidad con escasez, derivada de factores productivos y demográficos difíciles de revertir en el corto plazo.</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Tampoco sugiere nada bueno el escenario geopolítico mundial, con un poder creciente de las autocracias y las democracias liberales, una intensificación de los escenarios de conflictos militares y comerciales, y un debilitamiento de los espacios multilaterales de negociación. La gravedad de esta tendencia en el medio plazo no se deriva solo del expansionismo chino, el autoritarismo indio o la implosión sudafricana, sino de la probabilidad de que Estados Unidos y la Unión Europea se deslicen hacia el nacionalpopulismo en cualquiera de sus formas. Si algo hemos aprendido de la gestión que los países europeos están haciendo de sus fronteras exteriores es que no hace falta tener a los fascistas en el Gobierno para </w:t>
      </w:r>
      <w:hyperlink r:id="rId27" w:anchor=":~:text=Un%20a%C3%B1o%20despu%C3%A9s%20de%20la%20tragedia%20de%20Melilla%20todo%20sigue%20igual" w:history="1">
        <w:r w:rsidRPr="000A1500">
          <w:rPr>
            <w:rFonts w:ascii="MajritTxRoman" w:eastAsia="Times New Roman" w:hAnsi="MajritTxRoman" w:cs="Times New Roman"/>
            <w:color w:val="016CA2"/>
            <w:kern w:val="0"/>
            <w:u w:val="single"/>
            <w:lang w:eastAsia="es-ES"/>
            <w14:ligatures w14:val="none"/>
          </w:rPr>
          <w:t>comportarse como uno de ellos</w:t>
        </w:r>
      </w:hyperlink>
      <w:r w:rsidRPr="000A1500">
        <w:rPr>
          <w:rFonts w:ascii="MajritTxRoman" w:eastAsia="Times New Roman" w:hAnsi="MajritTxRoman" w:cs="Times New Roman"/>
          <w:color w:val="191919"/>
          <w:kern w:val="0"/>
          <w:lang w:eastAsia="es-ES"/>
          <w14:ligatures w14:val="none"/>
        </w:rPr>
        <w:t>.</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Conviene aceptar que vivimos en un mundo diferente. El incremento galopante del gasto militar de las grandes potencias competirá directamente, y en el largo plazo, con los recursos para la financiación del desarrollo. Alemania, el segundo donante de la OCDE en volumen (31.000 millones de euros en 2022), ha </w:t>
      </w:r>
      <w:hyperlink r:id="rId28" w:history="1">
        <w:r w:rsidRPr="000A1500">
          <w:rPr>
            <w:rFonts w:ascii="MajritTxRoman" w:eastAsia="Times New Roman" w:hAnsi="MajritTxRoman" w:cs="Times New Roman"/>
            <w:color w:val="016CA2"/>
            <w:kern w:val="0"/>
            <w:u w:val="single"/>
            <w:lang w:eastAsia="es-ES"/>
            <w14:ligatures w14:val="none"/>
          </w:rPr>
          <w:t>anunciado de manera simultánea</w:t>
        </w:r>
      </w:hyperlink>
      <w:r w:rsidRPr="000A1500">
        <w:rPr>
          <w:rFonts w:ascii="MajritTxRoman" w:eastAsia="Times New Roman" w:hAnsi="MajritTxRoman" w:cs="Times New Roman"/>
          <w:color w:val="191919"/>
          <w:kern w:val="0"/>
          <w:lang w:eastAsia="es-ES"/>
          <w14:ligatures w14:val="none"/>
        </w:rPr>
        <w:t> un ajuste presupuestario y un aumento de los gastos en defensa hasta el 2% de su PIB. Nada bueno puede salir de ahí para los presupuestos de la ayuda.</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lastRenderedPageBreak/>
        <w:t>Pero tan inútil es pensar que todo es una maravilla como meter la cabeza en un agujero por la que se nos viene encima. Como le he escuchado repetir a </w:t>
      </w:r>
      <w:hyperlink r:id="rId29" w:history="1">
        <w:r w:rsidRPr="000A1500">
          <w:rPr>
            <w:rFonts w:ascii="MajritTxRoman" w:eastAsia="Times New Roman" w:hAnsi="MajritTxRoman" w:cs="Times New Roman"/>
            <w:color w:val="016CA2"/>
            <w:kern w:val="0"/>
            <w:u w:val="single"/>
            <w:lang w:eastAsia="es-ES"/>
            <w14:ligatures w14:val="none"/>
          </w:rPr>
          <w:t>Kevin Watkins</w:t>
        </w:r>
      </w:hyperlink>
      <w:r w:rsidRPr="000A1500">
        <w:rPr>
          <w:rFonts w:ascii="MajritTxRoman" w:eastAsia="Times New Roman" w:hAnsi="MajritTxRoman" w:cs="Times New Roman"/>
          <w:color w:val="191919"/>
          <w:kern w:val="0"/>
          <w:lang w:eastAsia="es-ES"/>
          <w14:ligatures w14:val="none"/>
        </w:rPr>
        <w:t>, una de las cabezas más lúcidas en el debate sobre el desarrollo, “la clave está en dónde lo podemos hacer mejor”. Tenemos, al fin y al cabo, herramientas e información más sofisticadas que nunca para tomar las decisiones adecuadas. También la experiencia de una pandemia superada a base de coaliciones improbables, ciencia y medidas fiscales que hasta entonces parecían una utopía.</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Y esa es la tercera conclusión de nuestra serie: incluso en medio de este barullo, los miembros de la comunidad internacional tienen la capacidad de llegar a acuerdos esenciales cuando consideran que sus intereses están amenazados. Este es el tipo de pragmatismo que va a ser puesto a prueba en asuntos como la continuidad de las exportaciones de grano ucraniano (</w:t>
      </w:r>
      <w:hyperlink r:id="rId30" w:history="1">
        <w:r w:rsidRPr="000A1500">
          <w:rPr>
            <w:rFonts w:ascii="MajritTxRoman" w:eastAsia="Times New Roman" w:hAnsi="MajritTxRoman" w:cs="Times New Roman"/>
            <w:color w:val="016CA2"/>
            <w:kern w:val="0"/>
            <w:u w:val="single"/>
            <w:lang w:eastAsia="es-ES"/>
            <w14:ligatures w14:val="none"/>
          </w:rPr>
          <w:t>¡otra vez amenazadas!</w:t>
        </w:r>
      </w:hyperlink>
      <w:r w:rsidRPr="000A1500">
        <w:rPr>
          <w:rFonts w:ascii="MajritTxRoman" w:eastAsia="Times New Roman" w:hAnsi="MajritTxRoman" w:cs="Times New Roman"/>
          <w:color w:val="191919"/>
          <w:kern w:val="0"/>
          <w:lang w:eastAsia="es-ES"/>
          <w14:ligatures w14:val="none"/>
        </w:rPr>
        <w:t>), la aprobación de un </w:t>
      </w:r>
      <w:hyperlink r:id="rId31" w:history="1">
        <w:r w:rsidRPr="000A1500">
          <w:rPr>
            <w:rFonts w:ascii="MajritTxRoman" w:eastAsia="Times New Roman" w:hAnsi="MajritTxRoman" w:cs="Times New Roman"/>
            <w:color w:val="016CA2"/>
            <w:kern w:val="0"/>
            <w:u w:val="single"/>
            <w:lang w:eastAsia="es-ES"/>
            <w14:ligatures w14:val="none"/>
          </w:rPr>
          <w:t>tratado internacional</w:t>
        </w:r>
      </w:hyperlink>
      <w:r w:rsidRPr="000A1500">
        <w:rPr>
          <w:rFonts w:ascii="MajritTxRoman" w:eastAsia="Times New Roman" w:hAnsi="MajritTxRoman" w:cs="Times New Roman"/>
          <w:color w:val="191919"/>
          <w:kern w:val="0"/>
          <w:lang w:eastAsia="es-ES"/>
          <w14:ligatures w14:val="none"/>
        </w:rPr>
        <w:t> para la prevención de nuevas pandemias o el éxito de la próxima cumbre contra el cambio climático.</w:t>
      </w:r>
    </w:p>
    <w:p w:rsidR="000A1500" w:rsidRPr="000A1500" w:rsidRDefault="000A1500" w:rsidP="000A1500">
      <w:pPr>
        <w:spacing w:before="100" w:beforeAutospacing="1" w:after="100" w:afterAutospacing="1" w:line="240" w:lineRule="auto"/>
        <w:rPr>
          <w:rFonts w:ascii="MajritTxRoman" w:eastAsia="Times New Roman" w:hAnsi="MajritTxRoman" w:cs="Times New Roman"/>
          <w:color w:val="191919"/>
          <w:kern w:val="0"/>
          <w:lang w:eastAsia="es-ES"/>
          <w14:ligatures w14:val="none"/>
        </w:rPr>
      </w:pPr>
      <w:r w:rsidRPr="000A1500">
        <w:rPr>
          <w:rFonts w:ascii="MajritTxRoman" w:eastAsia="Times New Roman" w:hAnsi="MajritTxRoman" w:cs="Times New Roman"/>
          <w:color w:val="191919"/>
          <w:kern w:val="0"/>
          <w:lang w:eastAsia="es-ES"/>
          <w14:ligatures w14:val="none"/>
        </w:rPr>
        <w:t>Dentro de pocas semanas tendremos oportunidad de comprobar la magnitud del desafío al que hace frente el desarrollo, durante la cumbre para la revisión a medio plazo de la Agenda 2030. Conviene tener algo muy presente: la mayor amenaza para los Objetivos de Desarrollo Sostenible (ODS) y lo que estos representan no viene de los ataques infantiles de la ultraderecha, sino del abandono de quienes supuestamente la defienden.</w:t>
      </w:r>
    </w:p>
    <w:p w:rsidR="004B4ADB" w:rsidRPr="000A1500" w:rsidRDefault="004B4ADB"/>
    <w:sectPr w:rsidR="004B4ADB" w:rsidRPr="000A15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jritTx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00"/>
    <w:rsid w:val="000A1500"/>
    <w:rsid w:val="004B4ADB"/>
    <w:rsid w:val="0076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F128"/>
  <w15:chartTrackingRefBased/>
  <w15:docId w15:val="{C18AE07D-5C8B-4654-BEBC-FE783C5D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745920">
      <w:bodyDiv w:val="1"/>
      <w:marLeft w:val="0"/>
      <w:marRight w:val="0"/>
      <w:marTop w:val="0"/>
      <w:marBottom w:val="0"/>
      <w:divBdr>
        <w:top w:val="none" w:sz="0" w:space="0" w:color="auto"/>
        <w:left w:val="none" w:sz="0" w:space="0" w:color="auto"/>
        <w:bottom w:val="none" w:sz="0" w:space="0" w:color="auto"/>
        <w:right w:val="none" w:sz="0" w:space="0" w:color="auto"/>
      </w:divBdr>
      <w:divsChild>
        <w:div w:id="1322386136">
          <w:marLeft w:val="0"/>
          <w:marRight w:val="0"/>
          <w:marTop w:val="0"/>
          <w:marBottom w:val="0"/>
          <w:divBdr>
            <w:top w:val="none" w:sz="0" w:space="0" w:color="auto"/>
            <w:left w:val="none" w:sz="0" w:space="0" w:color="auto"/>
            <w:bottom w:val="none" w:sz="0" w:space="0" w:color="auto"/>
            <w:right w:val="none" w:sz="0" w:space="0" w:color="auto"/>
          </w:divBdr>
        </w:div>
        <w:div w:id="665934717">
          <w:marLeft w:val="0"/>
          <w:marRight w:val="0"/>
          <w:marTop w:val="0"/>
          <w:marBottom w:val="0"/>
          <w:divBdr>
            <w:top w:val="none" w:sz="0" w:space="0" w:color="auto"/>
            <w:left w:val="none" w:sz="0" w:space="0" w:color="auto"/>
            <w:bottom w:val="none" w:sz="0" w:space="0" w:color="auto"/>
            <w:right w:val="none" w:sz="0" w:space="0" w:color="auto"/>
          </w:divBdr>
          <w:divsChild>
            <w:div w:id="817192510">
              <w:marLeft w:val="0"/>
              <w:marRight w:val="0"/>
              <w:marTop w:val="0"/>
              <w:marBottom w:val="0"/>
              <w:divBdr>
                <w:top w:val="none" w:sz="0" w:space="0" w:color="auto"/>
                <w:left w:val="none" w:sz="0" w:space="0" w:color="auto"/>
                <w:bottom w:val="none" w:sz="0" w:space="0" w:color="auto"/>
                <w:right w:val="none" w:sz="0" w:space="0" w:color="auto"/>
              </w:divBdr>
            </w:div>
            <w:div w:id="43142196">
              <w:marLeft w:val="0"/>
              <w:marRight w:val="0"/>
              <w:marTop w:val="0"/>
              <w:marBottom w:val="0"/>
              <w:divBdr>
                <w:top w:val="none" w:sz="0" w:space="0" w:color="auto"/>
                <w:left w:val="none" w:sz="0" w:space="0" w:color="auto"/>
                <w:bottom w:val="single" w:sz="6" w:space="0" w:color="4A4A4A"/>
                <w:right w:val="none" w:sz="0" w:space="0" w:color="auto"/>
              </w:divBdr>
            </w:div>
            <w:div w:id="1509324716">
              <w:marLeft w:val="0"/>
              <w:marRight w:val="0"/>
              <w:marTop w:val="0"/>
              <w:marBottom w:val="0"/>
              <w:divBdr>
                <w:top w:val="none" w:sz="0" w:space="0" w:color="auto"/>
                <w:left w:val="none" w:sz="0" w:space="0" w:color="auto"/>
                <w:bottom w:val="none" w:sz="0" w:space="0" w:color="auto"/>
                <w:right w:val="none" w:sz="0" w:space="0" w:color="auto"/>
              </w:divBdr>
              <w:divsChild>
                <w:div w:id="1369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823">
          <w:marLeft w:val="0"/>
          <w:marRight w:val="0"/>
          <w:marTop w:val="0"/>
          <w:marBottom w:val="0"/>
          <w:divBdr>
            <w:top w:val="none" w:sz="0" w:space="0" w:color="auto"/>
            <w:left w:val="none" w:sz="0" w:space="0" w:color="auto"/>
            <w:bottom w:val="none" w:sz="0" w:space="0" w:color="auto"/>
            <w:right w:val="none" w:sz="0" w:space="0" w:color="auto"/>
          </w:divBdr>
          <w:divsChild>
            <w:div w:id="1695423184">
              <w:marLeft w:val="0"/>
              <w:marRight w:val="0"/>
              <w:marTop w:val="0"/>
              <w:marBottom w:val="0"/>
              <w:divBdr>
                <w:top w:val="none" w:sz="0" w:space="0" w:color="auto"/>
                <w:left w:val="none" w:sz="0" w:space="0" w:color="auto"/>
                <w:bottom w:val="none" w:sz="0" w:space="0" w:color="auto"/>
                <w:right w:val="none" w:sz="0" w:space="0" w:color="auto"/>
              </w:divBdr>
            </w:div>
            <w:div w:id="48859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385603">
                  <w:marLeft w:val="0"/>
                  <w:marRight w:val="0"/>
                  <w:marTop w:val="0"/>
                  <w:marBottom w:val="0"/>
                  <w:divBdr>
                    <w:top w:val="none" w:sz="0" w:space="0" w:color="auto"/>
                    <w:left w:val="none" w:sz="0" w:space="0" w:color="auto"/>
                    <w:bottom w:val="none" w:sz="0" w:space="0" w:color="auto"/>
                    <w:right w:val="none" w:sz="0" w:space="0" w:color="auto"/>
                  </w:divBdr>
                </w:div>
              </w:divsChild>
            </w:div>
            <w:div w:id="1381974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0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is.com/autor/gonzalo-fanjul/" TargetMode="External"/><Relationship Id="rId18" Type="http://schemas.openxmlformats.org/officeDocument/2006/relationships/hyperlink" Target="https://data.unicef.org/resources/sofi-2023/" TargetMode="External"/><Relationship Id="rId26" Type="http://schemas.openxmlformats.org/officeDocument/2006/relationships/hyperlink" Target="https://news.un.org/en/story/2023/07/1138597" TargetMode="External"/><Relationship Id="rId3" Type="http://schemas.openxmlformats.org/officeDocument/2006/relationships/webSettings" Target="webSettings.xml"/><Relationship Id="rId21" Type="http://schemas.openxmlformats.org/officeDocument/2006/relationships/hyperlink" Target="https://elpais.com/noticias/ofensiva-rusia-ucrania/" TargetMode="External"/><Relationship Id="rId7" Type="http://schemas.openxmlformats.org/officeDocument/2006/relationships/hyperlink" Target="https://elpais.com/planeta-futuro/red-de-expertos/2023-04-12/la-agenda-global-de-educacion-descarrila.html" TargetMode="External"/><Relationship Id="rId12" Type="http://schemas.openxmlformats.org/officeDocument/2006/relationships/hyperlink" Target="https://elpais.com/autor/gonzalo-fanjul/" TargetMode="External"/><Relationship Id="rId17" Type="http://schemas.openxmlformats.org/officeDocument/2006/relationships/hyperlink" Target="https://www.wfp.org/news/wfp-reaches-over-one-million-people-sudan-life-saving-food-assistance-despite-insecurity-and" TargetMode="External"/><Relationship Id="rId25" Type="http://schemas.openxmlformats.org/officeDocument/2006/relationships/hyperlink" Target="https://elpais.com/planeta-futuro/2023-06-23/el-mundo-busca-un-choque-de-financiacion-para-combatir-la-pobreza-y-aliviar-los-estragos-del-cambio-climatico.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pais.com/planeta-futuro/2023-04-27/la-enfermedad-que-mas-ninos-mata-es-prevenible-y-se-cura-pero-solo-en-los-paises-ricos.html" TargetMode="External"/><Relationship Id="rId20" Type="http://schemas.openxmlformats.org/officeDocument/2006/relationships/hyperlink" Target="https://elpais.com/especiales/2015/planeta-futuro/objetivos-desarrollo-sostenible/" TargetMode="External"/><Relationship Id="rId29" Type="http://schemas.openxmlformats.org/officeDocument/2006/relationships/hyperlink" Target="https://elpais.com/autor/kevin-watkins/" TargetMode="External"/><Relationship Id="rId1" Type="http://schemas.openxmlformats.org/officeDocument/2006/relationships/styles" Target="styles.xml"/><Relationship Id="rId6" Type="http://schemas.openxmlformats.org/officeDocument/2006/relationships/hyperlink" Target="https://www.ted.com/talks/steven_pinker_is_the_world_getting_better_or_worse_a_look_at_the_numbers?language=es" TargetMode="External"/><Relationship Id="rId11" Type="http://schemas.openxmlformats.org/officeDocument/2006/relationships/hyperlink" Target="https://elpais.com/planeta-futuro/2022-12-05/los-paises-del-sur-global-abren-una-grieta-en-el-muro-del-negacionismo-climatico.html" TargetMode="External"/><Relationship Id="rId24" Type="http://schemas.openxmlformats.org/officeDocument/2006/relationships/hyperlink" Target="https://www.mcgregor-boyall.com/resources/blog/what-is-a-polycrisis-how-could-it-affect-your-business/" TargetMode="External"/><Relationship Id="rId32" Type="http://schemas.openxmlformats.org/officeDocument/2006/relationships/fontTable" Target="fontTable.xml"/><Relationship Id="rId5" Type="http://schemas.openxmlformats.org/officeDocument/2006/relationships/hyperlink" Target="https://elpais.com/hemeroteca/2023-08-07/" TargetMode="External"/><Relationship Id="rId15" Type="http://schemas.openxmlformats.org/officeDocument/2006/relationships/hyperlink" Target="https://elpais.com/planeta-futuro/2023-03-24/por-que-la-tuberculosis-deberia-encararse-como-una-pandemia.html" TargetMode="External"/><Relationship Id="rId23" Type="http://schemas.openxmlformats.org/officeDocument/2006/relationships/hyperlink" Target="https://ourworldindata.org/excess-mortality-covid" TargetMode="External"/><Relationship Id="rId28" Type="http://schemas.openxmlformats.org/officeDocument/2006/relationships/hyperlink" Target="https://elpais.com/internacional/2023-07-05/alemania-regresa-a-la-austeridad-con-un-presupuesto-que-recorta-en-todas-las-areas-salvo-en-defensa.html" TargetMode="External"/><Relationship Id="rId10" Type="http://schemas.openxmlformats.org/officeDocument/2006/relationships/hyperlink" Target="https://elpais.com/planeta-futuro/red-de-expertos/2023-03-11/cuatro-palancas-para-inyectar-oxigeno-politico-y-financiero-al-sur-global.html" TargetMode="External"/><Relationship Id="rId19" Type="http://schemas.openxmlformats.org/officeDocument/2006/relationships/hyperlink" Target="https://s3.amazonaws.com/sustainabledevelopment.report/2023/2023-sustainable-development-report.pdf" TargetMode="External"/><Relationship Id="rId31" Type="http://schemas.openxmlformats.org/officeDocument/2006/relationships/hyperlink" Target="https://www.isglobal.org/es/-/un-tratado-internacional-contra-las-pandemias-negociado-en-una-oms-mas-fuerte" TargetMode="External"/><Relationship Id="rId4" Type="http://schemas.openxmlformats.org/officeDocument/2006/relationships/hyperlink" Target="https://elpais.com/autor/gonzalo-fanjul/" TargetMode="External"/><Relationship Id="rId9" Type="http://schemas.openxmlformats.org/officeDocument/2006/relationships/hyperlink" Target="https://elpais.com/planeta-futuro/2022-10-03/como-reparar-un-sistema-alimentario-roto.html" TargetMode="External"/><Relationship Id="rId14" Type="http://schemas.openxmlformats.org/officeDocument/2006/relationships/hyperlink" Target="https://elpais.com/autor/gonzalo-fanjul/" TargetMode="External"/><Relationship Id="rId22" Type="http://schemas.openxmlformats.org/officeDocument/2006/relationships/hyperlink" Target="https://elpais.com/noticias/pandemia/" TargetMode="External"/><Relationship Id="rId27" Type="http://schemas.openxmlformats.org/officeDocument/2006/relationships/hyperlink" Target="https://elpais.com/autor/gonzalo-fanjul/" TargetMode="External"/><Relationship Id="rId30" Type="http://schemas.openxmlformats.org/officeDocument/2006/relationships/hyperlink" Target="https://elpais.com/internacional/2023-07-17/rusia-rechaza-prorrogar-el-acuerdo-de-exportacion-del-grano-ucranio.html" TargetMode="External"/><Relationship Id="rId8" Type="http://schemas.openxmlformats.org/officeDocument/2006/relationships/hyperlink" Target="https://elpais.com/planeta-futuro/red-de-expertos/2022-11-07/la-revolucion-inacabada-de-la-salud-glob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1890</Words>
  <Characters>10399</Characters>
  <Application>Microsoft Office Word</Application>
  <DocSecurity>0</DocSecurity>
  <Lines>86</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Pérez Garrido</dc:creator>
  <cp:keywords/>
  <dc:description/>
  <cp:lastModifiedBy>Samuel Pérez Garrido</cp:lastModifiedBy>
  <cp:revision>2</cp:revision>
  <dcterms:created xsi:type="dcterms:W3CDTF">2023-08-07T09:54:00Z</dcterms:created>
  <dcterms:modified xsi:type="dcterms:W3CDTF">2023-08-08T09:55:00Z</dcterms:modified>
</cp:coreProperties>
</file>